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14 83 vom 16. Juli 2014</w:t>
      </w:r>
    </w:p>
    <w:p>
      <w:r>
        <w:t>VS Kantonsgericht, 2014-07-16, FR</w:t>
      </w:r>
    </w:p>
    <w:p>
      <w:r>
        <w:rPr>
          <w:b/>
        </w:rPr>
        <w:t xml:space="preserve">Quelle: </w:t>
      </w:r>
      <w:r>
        <w:t>https://mcp.opencaselaw.ch/entscheid/vs_gerichte_P3 14 83</w:t>
      </w:r>
    </w:p>
    <w:p>
      <w:r>
        <w:t>FR: VS_GERICHTE P3 14 83 du 16 juillet 2014</w:t>
      </w:r>
    </w:p>
    <w:p>
      <w:r>
        <w:t>IT: VS_GERICHTE P3 14 83 del 16 luglio 2014</w:t>
      </w:r>
    </w:p>
    <w:p>
      <w:pPr>
        <w:pStyle w:val="Heading2"/>
      </w:pPr>
      <w:r>
        <w:t>Regeste</w:t>
      </w:r>
    </w:p>
    <w:p>
      <w:r>
        <w:t>Par arrêt du 16 juillet 2014 (1B_230/2014), le Tribunal fédéral a rejeté le recours en matière pénale interjeté par X_________ contre ce jugement. P3 14 83 ORDONNANCE DU 26 MAI 2014 Tribunal cantonal du Valais Chambre pénale Jacques Berthouzoz, juge ; Frédéric Carron, greffier en la cause entre X_________, recourant, représenté par Maître A_________ et LE TRIBUNAL DES MESURES DE CONTRAINTE, intimé et MINISTÈRE PUBLIC, tiers concerné</w:t>
      </w:r>
    </w:p>
    <w:p>
      <w:pPr>
        <w:pStyle w:val="Heading2"/>
      </w:pPr>
      <w:r>
        <w:t>Erwägungen</w:t>
      </w:r>
    </w:p>
    <w:p>
      <w:r>
        <w:rPr>
          <w:b/>
        </w:rPr>
        <w:t>E. 1.1</w:t>
      </w:r>
    </w:p>
    <w:p>
      <w:r>
        <w:t>Un recours peut être formé devant un juge unique de la Chambre pénale contre le prononcé du Tribunal des mesures de contrainte ordonnant une mise en détention provisoire ou sa prolongation (art. 222 et 393 al. 1 let. c CPP, 20 al. 3 LOJ et 13 al. 1 LACPP). Peuvent notamment être invoqués la violation du droit, y compris l’excès et l’abus du pouvoir d’appréciation (art. 393 al. 2 let. a CPP), ainsi que la constatation</w:t>
      </w:r>
    </w:p>
    <w:p>
      <w:r>
        <w:t>- 6 - incomplète ou erronée des faits (let. b). L’autorité de recours n’a en principe à connaître que de ce qui lui est soumis (arrêt 6B_177/2013 du 4 novembre 2013 consid. 2.5.2 et la référence citée), de sorte qu’elle n’examine que les griefs soulevés, dès lors que le recours doit être motivé (RVJ 2012 p. 221 consid. 1.2 et les références citées).</w:t>
      </w:r>
    </w:p>
    <w:p>
      <w:r>
        <w:rPr>
          <w:b/>
        </w:rPr>
        <w:t>E. 1.2</w:t>
      </w:r>
    </w:p>
    <w:p>
      <w:r>
        <w:t>En l’espèce, le recourant a qualité pour recourir, dès lors qu’il est prévenu (art. 104 al. 1 let. a et 111 al. 1 CPP) et détenu (art. 222 CPP) et qu’il a un intérêt juridiquement protégé à l’annulation du prononcé ordonnant la prolongation de sa détention provisoire (art. 382 al. 1 CPP). Son recours, qui a été adressé dans le délai de dix jours dès la notification écrite de l’ordonnance litigieuse (art. 90 al. 1, 91 al. 1 et 2, 384 let. b et 396 al. 1 CPP) et qui respecte par ailleurs les conditions de motivation et de forme (art. 385 al. 1 et 396 al. 1 CPP), est donc recevable.</w:t>
      </w:r>
    </w:p>
    <w:p>
      <w:r>
        <w:rPr>
          <w:b/>
        </w:rPr>
        <w:t>E. 2</w:t>
      </w:r>
    </w:p>
    <w:p>
      <w:r>
        <w:t>Le recourant soutient que sa détention provisoire contrevient au principe de la proportionnalité. D’une part, la durée de son incarcération serait excessive. D’autre part, des mesures de substitution pourraient remédier au risque de récidive. 2.1.1 En ce qui concerne le principe de proportionnalité, toute personne qui est mise en détention provisoire a le droit d’être jugée dans un délai raisonnable ou d’être libérée pendant la procédure pénale (art. 31 al. 3 Cst. et 5 par. 3 CEDH). Une durée excessive de la détention constitue une limitation disproportionnée du droit à la liberté personnelle, qui est notamment violé lorsque la durée de la détention provisoire dépasse la durée probable de la peine privative de liberté à laquelle il faut s’attendre (art. 212 al. 3 CPP). Dans l’examen de la proportionnalité de la durée de la détention, il y a lieu de prendre en compte la gravité des infractions faisant l’objet de l’instruction. Le juge peut maintenir la détention provisoire aussi longtemps qu’elle n’est pas très proche de la durée de la peine privative de liberté à laquelle il faut s’attendre concrètement en cas de condamnation (ATF 133 I 168 consid. 4.1 ; 132 I 21 consid. 4.1 ; 107 Ia 256 consid. 2 et 3 et les références citées). Selon la jurisprudence concordante du Tribunal fédéral et de la Cour européenne des droits de l’homme, la proportionnalité de la durée de la détention doit être examinée au regard de l’ensemble des circonstances concrètes du cas d’espèce (ATF 133 I 168 consid. 4.1 ; 132 I 21 consid. 4.1 ; 124 I 208 consid. 6 ; 123 I 268 consid. 3a). Il n’appartient pas au juge de la détention de se livrer à un pronostic détaillé de la peine qui sera prononcée (arrêt 1B_186/2011 du 4 mai 2011 consid. 3.2). Au stade de la détention provisoire, l’autorité n’a pas à résoudre définitivement les questions de qualification juridique des faits poursuivis, puisque cela est du ressort, le cas échéant, de l’autorité de jugement. Dans le cadre de l’examen des charges suffisantes au sens de l’art. 221 CPP, le juge de la détention doit examiner la qualification juridique des faits prima facie, sous l’angle de la simple vraisemblance (ATF 137 IV 122 consid. 3.2). L’acte d’accusation établi par le ministère public constitue l’élément essentiel pour juger de la proportionnalité de la détention subie par l’accusé (arrêt 1B_513/2012 du 2 octobre 2012 consid. 4.2). 2.1.2 Aux termes de l’art. 221 al. 1 let. c CPP, la détention provisoire peut être ordonnée lorsqu’il y a sérieusement lieu de craindre que le prévenu compromette sérieusement la sécurité d’autrui par des crimes ou des délits graves, après avoir déjà commis des infractions du même genre. Quant à l’art. 221 al. 2 CPP, il prescrit que la</w:t>
      </w:r>
    </w:p>
    <w:p>
      <w:r>
        <w:t>- 7 - détention peut aussi être ordonnée, même en l’absence de toute infraction préalable, s’il y a sérieusement lieu de craindre qu’une personne passe à l’acte après avoir menacé de commettre un crime grave (et non seulement un délit au sens de l’art. 10 al. 3 CP ; ATF 137 IV 122 consid. 5.2). La menace de commettre un crime grave au sens de cette disposition peut aussi résulter d’actes concluants (ATF 137 IV 339 consid. 2.4 et la référence citée). Conformément au principe de la proportionnalité (art. 36 al. 3 Cst.), il convient d’examiner les possibilités de mettre en œuvre d’autres solutions moins dommageables que la détention (règle de la nécessité ; ATF 130 II 425 consid. 5.2 ; 126 I 219 consid. 2c et les arrêts cités). Cette exigence est concrétisée par l’art. 237 al. 1 CPP, qui prévoit que le tribunal compétent ordonne une ou plusieurs mesures moins sévères en lieu et place de la détention provisoire si ces mesures permettent d’atteindre le même but que la détention. Selon l’art. 237 al. 2 CPP, font notamment partie des mesures de substitution : l’assignation à résidence ou l’interdiction de se rendre dans un certain lieu ou un certain immeuble (let. c), l’obligation de se soumettre à un traitement médical ou à des contrôles (let. f) et l’interdiction d’entretenir des relations avec certaines personnes (let. g). La liste des mesures énoncées dans cette disposition n’est pas exhaustive (arrêt 1B_165/2012 du 12 avril 2012 consid. 2.3). L’interdiction de fréquenter les bars ou les discothèques n’est pas contrôlable et ne constitue pas une mesure de substitution adéquate à la détention provisoire (arrêt 1B_455/2013 du 10 janvier 2014 consid. 3.2). Conformément à l’art. 237 al. 5 CPP, le tribunal peut en tout temps révoquer les mesures de substitution, en ordonner d’autres ou prononcer la détention provisoire si des faits nouveaux l’exigent ou si le prévenu ne respecte pas les obligations qui lui ont été imposées. Le tribunal compétent dispose dans ce cadre d’un large pouvoir d’appréciation, comme cela ressort de la formulation potestative de l’art. 237 al. 5 CPP (arrêt 1B_201/2013 du 26 juin 2013 consid. 2.1 et la référence citée). 2.2.1 En l’occurrence, on observe, en ce qui concerne tout d’abord la durée de la détention provisoire déjà subie par le recourant (9 mois en tout), que le Dr B_________ et la psychologue clinicienne C_________ évoquent, dans leur rapport d’expertise médico-légale psychiatrique du 8 janvier 2014, pour le cas où la justice reconnaîtrait le prévenu coupable des faits qui lui sont reprochés, l’opportunité d’ordonner un traitement thérapeutique institutionnel en milieu fermé au sens de l’art. 59 al. 1, 2 et 3 CP, étant donné qu’il présente un risque de passage à l’acte significatif, avec des facteurs non-négligeables de résistance à tout traitement. Or, une telle mesure ne connaît pas de limite maximale, dès lors qu’elle peut être reconduite aussi souvent et aussi longtemps que son maintien s’avère nécessaire, approprié et proportionnel (art. 59 al. 4 CP ; ATF 137 IV 201 consid. 1.4 et l’arrêt cité). Cela étant, les 9 mois que le recourant a déjà passés en prison, tout comme les 11 mois qu’il aura purgés au terme de la prolongation de sa détention provisoire, ne sauraient dépasser la durée probable de la peine – en l’occurrence mesure – à laquelle il doit s’attendre concrètement en cas de condamnation. Sous cet angle, il n’y a donc aucune entorse au principe de la proportionnalité, d’autant que les très mauvais antécédents du recourant et la gravité des faits ressortant de la communication de fin d’enquête du 18 février 2014 justifieraient également une peine privative de liberté de 11 mois à tout le moins, même avec une responsabilité légèrement à moyennement restreinte.</w:t>
      </w:r>
    </w:p>
    <w:p>
      <w:r>
        <w:t>- 8 - 2.2.2 S’agissant ensuite des mesures de substitution propres à remédier au risque – non contesté – de récidive, on relève que le suivi psychiatrique, médicamenteux et psychosocial global dont le recourant bénéficiait depuis 2011 ne l’a pas empêché de passer à l’acte, si l’on se réfère à la communication de fin d’enquête. De même, les mois de détention subis entre son arrestation provisoire, le 25 août 2013, et sa remise en liberté, le 20 janvier 2014, ne l’ont semble-t-il également pas dissuadé de récidiver immédiatement. Dans ces conditions, la première proposition évoquée par les experts – poursuite du suivi global sur un mode ambulatoire et instauration d’un suivi par D_________ – n’emporte pas la conviction, d’autant que ces deux mesures ne présentent, de l’avis des spécialistes, que des chances de succès plus que relatives, dès lors que le recourant nie tout problème de consommation d’alcool. En l’état, reste ainsi uniquement la seconde hypothèse, à savoir le traitement thérapeutique institutionnel en milieu fermé, laquelle exclut, par définition, la libération du recourant, partant toute possibilité de mesures de substitution. Quoi qu’il en soit, celles proposées par le recourant – interdiction de consommer de l’alcool, obligation de se soumettre à un suivi psychologique, interdiction de fréquenter certains lieux, interdiction d’approcher certaines personnes et obligation de s’établir en un lieu –, hormis qu’elles sont pour certaines vagues, pour d’autres difficilement contrôlables, paraissent largement insuffisantes, d’autant qu’elles s’éloignent des conclusions des experts, étant rappelé qu’ils qualifient de plus que moyen le risque de récidive d’actes violents. A tout le moins, les menaces de mort proférées par le recourant à l’encontre du premier procureur, le 8 mai 2014, ne permettent pas de remettre en cause ce pronostic, tout comme ses scandales sur la voie publique et les innombrables problèmes rencontrés avec ses voisins, sa pharmacie, son médecin-traitant généraliste, l’office régional de placement de E_________ et le service social du Centre médico-social subrégional P_________. De ce point de vue, l’ordonnance attaquée respecte donc aussi le principe de la proportionnalité.</w:t>
      </w:r>
    </w:p>
    <w:p>
      <w:r>
        <w:rPr>
          <w:b/>
        </w:rPr>
        <w:t>E. 3</w:t>
      </w:r>
    </w:p>
    <w:p>
      <w:r>
        <w:t>Le risque de récidive étant admis, sans mesure de substitution possible, il est inutile d’examiner ceux alternatifs de fuite et de collusion. Quant à l’existence de charges suffisantes, elle n’est pas remise en cause. Il n’y a donc pas lieu d’aborder ces conditions supplémentaires de la détention provisoire que le Tribunal des mesures de contrainte a de toute façon appréciées correctement. Il s’ensuit le rejet du recours.</w:t>
      </w:r>
    </w:p>
    <w:p>
      <w:r>
        <w:rPr>
          <w:b/>
        </w:rPr>
        <w:t>E. 4</w:t>
      </w:r>
    </w:p>
    <w:p>
      <w:r>
        <w:t>La présente ordonnance est communiquée aux parties.</w:t>
      </w:r>
    </w:p>
    <w:p>
      <w:r>
        <w:t>Sion, le 26 mai 2014</w:t>
      </w:r>
    </w:p>
    <w:p>
      <w:r>
        <w:rPr>
          <w:b/>
        </w:rPr>
        <w:t>E. 4.1</w:t>
      </w:r>
    </w:p>
    <w:p>
      <w:r>
        <w:t>Comme l’assistance judiciaire gratuite a été accordée au recourant, avec effet dès le 26 août 2013, il est exonéré des frais de la procédure de recours, qui sont donc mis à la charge de l’Etat du Valais (art. 136 al. 2 let. b CPP par analogie ; Harari/Aliberti, Commentaire romand, Code de procédure pénale suisse, 2011, n. 4 ad art. 135 CPP ; Harari/Corminboeuf, Commentaire romand, n. 51 ad art. 136 CPP). Ces frais se composent des émoluments et des débours effectivement supportés (art. 416 et 422 al. 1 CPP), par quoi on entend notamment les frais imputables à la défense d’office et à l’assistance gratuite, ainsi que les frais de port (al. 2 let. a et e). L’émolument, qui doit respecter les principes de la couverture des frais et de l’équivalence des prestations, est fixé en fonction notamment de l’ampleur et de la difficulté de la cause (art. 424 al. 1 CPP et 1 al. 1, 13 al. 1 et 2 LTar). Il oscille entre 90 et 2000 fr. (art. 22 let. g LTar). En</w:t>
      </w:r>
    </w:p>
    <w:p>
      <w:r>
        <w:t>- 9 - l’espèce, eu égard à la complexité moyenne de l’affaire, il est arrêté forfaitairement à 800 fr. (art. 424 al. 2 CPP et 11 LTar).</w:t>
      </w:r>
    </w:p>
    <w:p>
      <w:r>
        <w:rPr>
          <w:b/>
        </w:rPr>
        <w:t>E. 4.2</w:t>
      </w:r>
    </w:p>
    <w:p>
      <w:r>
        <w:t>Quant au défenseur d’office, sous réserve de remboursement par le prévenu condamné à supporter les frais de procédure et dont la situation financière le permet (art. 135 al. 4 CPP), il est indemnisé par l’Etat du Valais (art. 11 al. 1 LAJ) conformément au tarif des avocats du canton du for du procès (art. 135 al. 1 CPP), quelle que soit l’issue de la procédure de recours. En effet, les art. 429 ss CPP s’appliquent aux seuls avocats de choix (ATF 138 IV 205 consid. 1 ; arrêt 6B_331/2012 du 22 octobre 2012 consid. 2.2). A contrario, l’indemnisation du défenseur d’office relève exclusivement de l’art. 135 CPP. Ainsi, en Valais, le défenseur d’office perçoit, en sus du remboursement de ses débours justifiés, des honoraires correspondant au 70% des honoraires prévus à l’art. 36 LTar, mais au moins une rémunération équitable telle que définie par la jurisprudence du Tribunal fédéral (art. 30 al. 1 LTar ; ATF 132 I 201 consid. 8.7 ; arrêts 6B_445/2013 du 14 janvier 2014 consid. 10.5 ; 6B_752/2009 du 18 janvier 2010 consid. 1 ; 8C_391/2007 du 26 mai 2008 consid. 3.2). Les honoraires, variant entre 300 et 2200 fr., sont fixés notamment d’après la nature et l’importance de la cause, ses difficultés, l’ampleur du travail et le temps utilement consacré par le conseil juridique (art. 27 al. 1 et 3 et 36 LTar ; arrêt 6B_767/2010 du 24 février 2011 consid. 3.3 et 3.4). En l’occurrence, compte tenu de la complexité moyenne de l’affaire et des prestations utiles de Me A_________, auteur d’un recours motivé et d’une brève lettre, son indemnité réduite est arrêtée à 600 fr., débours compris.</w:t>
      </w:r>
    </w:p>
    <w:p>
      <w:r>
        <w:t>Prononce</w:t>
      </w:r>
    </w:p>
    <w:p>
      <w:r>
        <w:t>1. Le recours est rejeté. 2. Les frais de la procédure de recours sont mis pour 800 fr. à la charge de l’Etat du Valais, au titre de l’assistance judiciaire gratuite accordée à X_________. 3. L’Etat du Valais versera à Me A_________ une indemnité réduite de 600 fr. au même titre.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